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C072" w14:textId="77777777" w:rsidR="00802CF2" w:rsidRPr="00802CF2" w:rsidRDefault="00802CF2" w:rsidP="00802CF2">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802CF2">
        <w:rPr>
          <w:rFonts w:ascii="Calibri" w:eastAsia="Times New Roman" w:hAnsi="Calibri" w:cs="Calibri"/>
          <w:b/>
          <w:bCs/>
          <w:caps/>
          <w:color w:val="000000"/>
          <w:sz w:val="26"/>
          <w:szCs w:val="26"/>
          <w:lang w:eastAsia="pt-BR"/>
        </w:rPr>
        <w:t>ANEXO I</w:t>
      </w:r>
    </w:p>
    <w:p w14:paraId="1076A55E" w14:textId="77777777" w:rsidR="00802CF2" w:rsidRPr="00802CF2" w:rsidRDefault="00802CF2" w:rsidP="00802CF2">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802CF2">
        <w:rPr>
          <w:rFonts w:ascii="Calibri" w:eastAsia="Times New Roman" w:hAnsi="Calibri" w:cs="Calibri"/>
          <w:b/>
          <w:bCs/>
          <w:caps/>
          <w:color w:val="000000"/>
          <w:sz w:val="26"/>
          <w:szCs w:val="26"/>
          <w:lang w:eastAsia="pt-BR"/>
        </w:rPr>
        <w:t>TERMO DE REFERÊNCIA</w:t>
      </w:r>
    </w:p>
    <w:p w14:paraId="32B2B35B" w14:textId="77777777" w:rsidR="00802CF2" w:rsidRPr="00802CF2" w:rsidRDefault="00802CF2" w:rsidP="00802CF2">
      <w:pPr>
        <w:spacing w:before="120" w:after="120" w:line="240" w:lineRule="auto"/>
        <w:ind w:left="120" w:right="120"/>
        <w:jc w:val="right"/>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0C978A58" w14:textId="76FE248C"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DO OBJETO</w:t>
      </w:r>
    </w:p>
    <w:p w14:paraId="2CA3151B" w14:textId="77777777" w:rsidR="00802CF2" w:rsidRPr="00802CF2" w:rsidRDefault="00802CF2" w:rsidP="00802CF2">
      <w:pPr>
        <w:spacing w:before="120" w:after="120" w:line="240" w:lineRule="auto"/>
        <w:ind w:left="120" w:right="120"/>
        <w:jc w:val="both"/>
        <w:rPr>
          <w:rFonts w:ascii="Calibri" w:eastAsia="Times New Roman" w:hAnsi="Calibri" w:cs="Calibri"/>
          <w:color w:val="000000"/>
          <w:lang w:eastAsia="pt-BR"/>
        </w:rPr>
      </w:pPr>
      <w:r w:rsidRPr="00802CF2">
        <w:rPr>
          <w:rFonts w:ascii="Calibri" w:eastAsia="Times New Roman" w:hAnsi="Calibri" w:cs="Calibri"/>
          <w:color w:val="000000"/>
          <w:lang w:eastAsia="pt-BR"/>
        </w:rPr>
        <w:t> </w:t>
      </w:r>
    </w:p>
    <w:p w14:paraId="0DD3EC5F"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presente Termo de Referência tem por objeto a implementação de atividades de pedestrianismo para pessoas com deficiência no Parque Estadual do Belém Manoel Pitta, unidade sob administração da Diretoria de Parques Urbanos - DPU, de acordo com as condições estabelecidas no Edital e seus Anexos.</w:t>
      </w:r>
    </w:p>
    <w:p w14:paraId="206FA250"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As atividades previstas no presente Termo de Referência serão de responsabilidade dos partícipes, devendo onerar seus recursos próprios, não havendo quaisquer repasses de recursos financeiros ou materiais entre os signatários.</w:t>
      </w:r>
    </w:p>
    <w:p w14:paraId="0DD3BA94"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Toda a infraestrutura e mão de obra necessária à implementação da presente proposta ficará a cargo da Organização da Sociedade Civil – OSC, que deverá zelar e conservar a edificação a ser utilizada, sem quaisquer custos adicionais ao Estado.</w:t>
      </w:r>
    </w:p>
    <w:p w14:paraId="292C72E4" w14:textId="231C4019"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parceria será formalizada mediante a assinatura de Acordo de Cooperação, entre o Estado de São Paulo, por intermédio da Secretaria de Estado do Meio Ambiente, Infraestrutura e Logística – SEMIL, com a Organização da Sociedade Civil – OSC, o extrato deste Acordo será publicado no Diário Oficial do Estado de São Paulo e também na página institucional da Secretaria de Estado do Meio Ambiente, Infraestrutura e Logística.</w:t>
      </w:r>
    </w:p>
    <w:p w14:paraId="294056FE"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245610A9" w14:textId="5D9AA2ED"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DA JUSTIFICATIVA</w:t>
      </w:r>
    </w:p>
    <w:p w14:paraId="14C9FAB0"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72734970"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Parque Estadual do Belém Manoel Pitta, instituído pela Lei nº 10.760, de 23 de janeiro de 2001 e renomeado pela Lei nº 15.129, de 01 de outubro de 2013, possui aproximadamente 210.000 m² de área em terreno que, de 1902 até 2007, se tratava da Fundação Estadual para o Bem Estar do Menor (FEBEM) Tatuapé e, em sua origem, a Chácara Belém. Tal espaço, após se tornar uma área de uso público, recebeu a implantação de diversos equipamentos sendo o uso esportivo de grande destaque. A prática esportiva transcende os benefícios físicos sendo também um meio de convivência e integração.</w:t>
      </w:r>
    </w:p>
    <w:p w14:paraId="6663BE7E"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Dentro do conjunto de equipamentos disponíveis, para o presente Termo de Referência, destaca-se a pista de caminhada existente na unidade. Tal pista apresenta 1,5km (um quilômetro e quinhentos metros) de percurso sendo espaço amplamente utilizado pelos frequentadores da unidade para a prática de exercício aeróbico.</w:t>
      </w:r>
    </w:p>
    <w:p w14:paraId="2B50E7E2"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Diante de tal cenário, visando incentivar a prática de atividades esportivas na unidade, é proposta a implementação de atividades de pedestrianismo voltadas para pessoas com deficiência.</w:t>
      </w:r>
    </w:p>
    <w:p w14:paraId="7B95E5D4"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Tal proposta, além de promover o esporte no Parque Estadual do Belém Manoel Pitta, tem como objetivo ampliar a integração social. De acordo com as pesquisas de satisfação aplicadas na unidade dentro do período de junho de 2023 até setembro de 2024, 5% dos frequentadores da unidade são pessoas com deficiência. Com o fornecimento de serviços voltados a tal grupo, além de ser possível aumentar tal porcentagem, incentiva-se e cria-se a oportunidade de acesso das pessoas com deficiência à prática esportiva em um espaço público de forma gratuita.</w:t>
      </w:r>
    </w:p>
    <w:p w14:paraId="01C9BD49"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projeto a ser desenvolvido deve ainda dentro de seu escopo prever a formação de guias para a participação das pessoas com deficiência nas aulas. A promoção de tal capacitação mostra-se relevante para o desenvolvimento de habilidades e conhecimentos e contribuir para o crescimento individual e coletivo.</w:t>
      </w:r>
    </w:p>
    <w:p w14:paraId="43640CD5"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Convém consignar que iniciativas desta natureza estão em perfeita harmonia com as disposições constantes no Decreto Estadual nº 60.321, de 01 de abril de 2014, considerando seu escopo social, desportivo e educativo. Sendo assim, a proposta apresentada vai de encontro com as diretrizes desta Secretaria de Estado do Meio Ambiente, Infraestrutura e Logística, proporcionando dentro de um ambiente urbano a realização e disseminação de atividades dirigidas à população voltadas às áreas do lazer, esporte, cultural, da educação e socioambiental em perfeita sintonia com os objetivos primordiais desta infraestrutura, tornando-os um local de referência dos cidadãos paulistanos.</w:t>
      </w:r>
    </w:p>
    <w:p w14:paraId="25927FF2" w14:textId="16367CF2"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xml:space="preserve">Por fim, informa-se que a presente proposta obedeceu às formalidades exigidas pelas regras administrativas e pela legislação, de modo a atender ao estabelecido no artigo 4º, inciso III, do Decreto Estadual nº 60.321, de 1º de abril de 2014, </w:t>
      </w:r>
      <w:proofErr w:type="spellStart"/>
      <w:r w:rsidRPr="00802CF2">
        <w:rPr>
          <w:rFonts w:ascii="Calibri" w:eastAsia="Times New Roman" w:hAnsi="Calibri" w:cs="Calibri"/>
          <w:color w:val="000000"/>
          <w:sz w:val="27"/>
          <w:szCs w:val="27"/>
          <w:lang w:eastAsia="pt-BR"/>
        </w:rPr>
        <w:t>c.c</w:t>
      </w:r>
      <w:proofErr w:type="spellEnd"/>
      <w:r w:rsidRPr="00802CF2">
        <w:rPr>
          <w:rFonts w:ascii="Calibri" w:eastAsia="Times New Roman" w:hAnsi="Calibri" w:cs="Calibri"/>
          <w:color w:val="000000"/>
          <w:sz w:val="27"/>
          <w:szCs w:val="27"/>
          <w:lang w:eastAsia="pt-BR"/>
        </w:rPr>
        <w:t xml:space="preserve">. artigo 1º, da Resolução SMA nº 53, de 31 de maio de 2016. O instrumento jurídico a ser adotado para a parceria será regido pela Lei Federal nº 13.019, de 31 de julho de 2014, com redação dada pela Lei Federal nº 13.204, de 14 de dezembro de 2015 e pelo Decreto Estadual nº 61.981, de 20 de </w:t>
      </w:r>
      <w:r w:rsidRPr="00802CF2">
        <w:rPr>
          <w:rFonts w:ascii="Calibri" w:eastAsia="Times New Roman" w:hAnsi="Calibri" w:cs="Calibri"/>
          <w:color w:val="000000"/>
          <w:sz w:val="27"/>
          <w:szCs w:val="27"/>
          <w:lang w:eastAsia="pt-BR"/>
        </w:rPr>
        <w:lastRenderedPageBreak/>
        <w:t>maio de 2016, com redação dada pelo Decreto Estadual nº 62.710, de 20 de julho de 2017.</w:t>
      </w:r>
    </w:p>
    <w:p w14:paraId="00432209"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2A7D72CF" w14:textId="24052FB4"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DA VIGÊNCIA</w:t>
      </w:r>
    </w:p>
    <w:p w14:paraId="29AA4A3E"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2B6009AA"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Acordo de Cooperação vigorará por 12 (doze) meses, a contar da data de sua assinatura, devendo obedecer ao cronograma de execução especificado na Tabela 01.</w:t>
      </w:r>
    </w:p>
    <w:p w14:paraId="013462CC"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Acordo de Cooperação poderá ser prorrogado por mútuo consentimento dos partícipes antes do fim de sua vigência, por igual período ou por prazo inferior, até o limite de 60 (sessenta) meses, mediante a celebração de aditivo, de forma justificada e tendo sempre em vista o interesse público, observadas as disposições legais e vigentes e fazendo-se as alterações necessárias no Termo de Referência, caso houver.</w:t>
      </w:r>
    </w:p>
    <w:p w14:paraId="4462E70C" w14:textId="774A8745"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prorrogação do Acordo de Cooperação deverá ser aprovada pelo Conselho de Orientação, caso tal órgão colegiado estiver vigente, que analisará o Relatório das Atividades, específicos para tal fim, elaborado pela OSC e manifestação do representante da SEMIL/DPU.</w:t>
      </w:r>
    </w:p>
    <w:p w14:paraId="214692B3"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2B76A09D" w14:textId="49789C3B"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DO PROJETO</w:t>
      </w:r>
    </w:p>
    <w:p w14:paraId="00FC7ABC"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70FD2DA6" w14:textId="172E422C"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OBJETIVO GERAL</w:t>
      </w:r>
    </w:p>
    <w:p w14:paraId="3BCD31B7" w14:textId="4B4CDBF5"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projeto tem por finalidade oferecer para os frequentadores do Parque Estadual do Belém Manoel Pitta atividades de pedestrianismo para pessoas com deficiência objetivando promover saúde, bem-estar e integração daqueles atendidos no projeto sempre em linha com o meio ambiente e as diretrizes da Diretoria de Parques Urbanos da Secretaria de Estado do Meio Ambiente, Infraestrutura e Logística.</w:t>
      </w:r>
    </w:p>
    <w:p w14:paraId="49F91AF6"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748C3544" w14:textId="0718DFE8"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OBJETIVOS ESPECÍFICOS</w:t>
      </w:r>
    </w:p>
    <w:p w14:paraId="09E8B40C"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Oferecer oportunidades de prática esportivas para pessoas com deficiência no Parque Estadual do Belém Manoel Pitta promovendo a integração social no espaço público;</w:t>
      </w:r>
    </w:p>
    <w:p w14:paraId="47AA21BD"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Proporcionar, com as atividades de pedestrianismo, ambiente para treinamento de atividades físicas regulares;</w:t>
      </w:r>
    </w:p>
    <w:p w14:paraId="788EF6D6"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Contribuir para a valorização do espaço público com o fornecimento de novas atividades voltadas às pessoas com deficiência;</w:t>
      </w:r>
    </w:p>
    <w:p w14:paraId="4526F240"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Implementar indicadores de acompanhamento e avaliação das atividades promovidas;</w:t>
      </w:r>
    </w:p>
    <w:p w14:paraId="3C9E2D91"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Formação de guias para atividades de pedestrianismo voltadas às pessoas com deficiência;</w:t>
      </w:r>
    </w:p>
    <w:p w14:paraId="5EC1A296" w14:textId="06386598"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Avaliar e mensurar o impacto das atividades desenvolvidas e sua interação com o Parque Estadual do Belém Manoel Pitta.</w:t>
      </w:r>
    </w:p>
    <w:p w14:paraId="45874D6D"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52E16D06"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PÚBLICO ALVO</w:t>
      </w:r>
    </w:p>
    <w:p w14:paraId="38BD573D" w14:textId="4A1641A6"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Pessoas com deficiência de todas as faixas etárias.</w:t>
      </w:r>
    </w:p>
    <w:p w14:paraId="52C88F68"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69E80908"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LOCAL DE EXECUÇÃO</w:t>
      </w:r>
    </w:p>
    <w:p w14:paraId="7214BBDE" w14:textId="105D6493"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Lote Único – Ciclovia de 1,5km do Parque Estadual do Belém Manoel Pitta, localizado à Av. Celso Garcia, 2593 - Belenzinho, São Paulo - SP, 03014-000, conforme mapa de localização (Anexo IA).</w:t>
      </w:r>
    </w:p>
    <w:p w14:paraId="20781EB9"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6A2AE325"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METAS A SEREM ATINGIDAS</w:t>
      </w:r>
    </w:p>
    <w:p w14:paraId="0A956FBF" w14:textId="00F24AC4"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As atividades desenvolvidas visam proporcionar por meio do pedestrianismo situações vivenciadas que favoreçam a socialização oferecendo subsídios para que os frequentadores da unidade possam desenvolver habilidades cognitivas, motoras e socioemocionais.</w:t>
      </w:r>
    </w:p>
    <w:p w14:paraId="21EC9F92"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0DB26BD3" w14:textId="2C61608D"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CRONOGRAMA DAS ATIVIDADES</w:t>
      </w:r>
    </w:p>
    <w:p w14:paraId="10DF3195" w14:textId="604E8C5C"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As atividades de pedestrianismo a serem contempladas na proposta devem ser divididas em dois tipos:</w:t>
      </w:r>
    </w:p>
    <w:p w14:paraId="430CEF1A" w14:textId="77777777" w:rsidR="00802CF2" w:rsidRDefault="00802CF2" w:rsidP="00802CF2">
      <w:pPr>
        <w:pStyle w:val="PargrafodaLista"/>
        <w:numPr>
          <w:ilvl w:val="0"/>
          <w:numId w:val="2"/>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Atividades regulares: Atividades rotineiras a serem desenvolvidas aos finais de semana. Tais atividades serão realizadas como aulas esportivas.</w:t>
      </w:r>
    </w:p>
    <w:p w14:paraId="3E9CF821" w14:textId="48BE2E8F" w:rsidR="00802CF2" w:rsidRPr="00802CF2" w:rsidRDefault="00802CF2" w:rsidP="00802CF2">
      <w:pPr>
        <w:pStyle w:val="PargrafodaLista"/>
        <w:numPr>
          <w:ilvl w:val="0"/>
          <w:numId w:val="2"/>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Atividades especiais: Atividades dentro do projeto que necessitam de mais tempo de atuação dos grupos. Cita-se, como exemplo, a realização de, no mínimo, um evento gratuito de caráter comunitário. Deve ser realizado, no mínimo, um evento ao ano.</w:t>
      </w:r>
    </w:p>
    <w:p w14:paraId="26E7DA77" w14:textId="77777777" w:rsidR="00802CF2" w:rsidRPr="00802CF2" w:rsidRDefault="00802CF2" w:rsidP="00802CF2">
      <w:pPr>
        <w:spacing w:before="100" w:beforeAutospacing="1" w:after="100" w:afterAutospacing="1" w:line="240" w:lineRule="auto"/>
        <w:ind w:left="570" w:firstLine="1418"/>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27B4BDDB" w14:textId="5C5DB291"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As atividades descritas no presente tópico não devem contemplar nenhum tipo de comercialização dentro do Parque Estadual do Belém Manoel Pitta.</w:t>
      </w:r>
    </w:p>
    <w:p w14:paraId="5BE43DFE"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 </w:t>
      </w:r>
    </w:p>
    <w:p w14:paraId="5E2B2565"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Tabela 01 – Cronograma de atividades*</w:t>
      </w:r>
    </w:p>
    <w:p w14:paraId="384671A7"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 </w:t>
      </w:r>
    </w:p>
    <w:p w14:paraId="0182E4F8"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 </w:t>
      </w:r>
    </w:p>
    <w:tbl>
      <w:tblPr>
        <w:tblW w:w="750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594"/>
        <w:gridCol w:w="3906"/>
      </w:tblGrid>
      <w:tr w:rsidR="00802CF2" w:rsidRPr="00802CF2" w14:paraId="519CDA69" w14:textId="77777777" w:rsidTr="00802CF2">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96B4A5"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b/>
                <w:bCs/>
                <w:color w:val="000000"/>
                <w:lang w:eastAsia="pt-BR"/>
              </w:rPr>
              <w:t>Cronograma para atividades</w:t>
            </w:r>
          </w:p>
        </w:tc>
      </w:tr>
      <w:tr w:rsidR="00802CF2" w:rsidRPr="00802CF2" w14:paraId="3C06914E" w14:textId="77777777" w:rsidTr="00802CF2">
        <w:tc>
          <w:tcPr>
            <w:tcW w:w="3450" w:type="dxa"/>
            <w:tcBorders>
              <w:top w:val="outset" w:sz="6" w:space="0" w:color="auto"/>
              <w:left w:val="outset" w:sz="6" w:space="0" w:color="auto"/>
              <w:bottom w:val="outset" w:sz="6" w:space="0" w:color="auto"/>
              <w:right w:val="outset" w:sz="6" w:space="0" w:color="auto"/>
            </w:tcBorders>
            <w:vAlign w:val="center"/>
            <w:hideMark/>
          </w:tcPr>
          <w:p w14:paraId="0973C387" w14:textId="77777777" w:rsidR="00802CF2" w:rsidRPr="00802CF2" w:rsidRDefault="00802CF2" w:rsidP="00802CF2">
            <w:pPr>
              <w:spacing w:after="0" w:line="240" w:lineRule="auto"/>
              <w:ind w:left="40" w:right="40"/>
              <w:rPr>
                <w:rFonts w:ascii="Calibri" w:eastAsia="Times New Roman" w:hAnsi="Calibri" w:cs="Calibri"/>
                <w:color w:val="000000"/>
                <w:lang w:eastAsia="pt-BR"/>
              </w:rPr>
            </w:pPr>
            <w:r w:rsidRPr="00802CF2">
              <w:rPr>
                <w:rFonts w:ascii="Calibri" w:eastAsia="Times New Roman" w:hAnsi="Calibri" w:cs="Calibri"/>
                <w:color w:val="000000"/>
                <w:lang w:eastAsia="pt-BR"/>
              </w:rPr>
              <w:t>Atividades regulares</w:t>
            </w:r>
          </w:p>
        </w:tc>
        <w:tc>
          <w:tcPr>
            <w:tcW w:w="3750" w:type="dxa"/>
            <w:tcBorders>
              <w:top w:val="outset" w:sz="6" w:space="0" w:color="auto"/>
              <w:left w:val="outset" w:sz="6" w:space="0" w:color="auto"/>
              <w:bottom w:val="outset" w:sz="6" w:space="0" w:color="auto"/>
              <w:right w:val="outset" w:sz="6" w:space="0" w:color="auto"/>
            </w:tcBorders>
            <w:vAlign w:val="center"/>
            <w:hideMark/>
          </w:tcPr>
          <w:p w14:paraId="3920D7E0" w14:textId="77777777" w:rsidR="00802CF2" w:rsidRPr="00802CF2" w:rsidRDefault="00802CF2" w:rsidP="00802CF2">
            <w:pPr>
              <w:spacing w:after="0" w:line="240" w:lineRule="auto"/>
              <w:ind w:left="40" w:right="40"/>
              <w:rPr>
                <w:rFonts w:ascii="Calibri" w:eastAsia="Times New Roman" w:hAnsi="Calibri" w:cs="Calibri"/>
                <w:color w:val="000000"/>
                <w:lang w:eastAsia="pt-BR"/>
              </w:rPr>
            </w:pPr>
            <w:r w:rsidRPr="00802CF2">
              <w:rPr>
                <w:rFonts w:ascii="Calibri" w:eastAsia="Times New Roman" w:hAnsi="Calibri" w:cs="Calibri"/>
                <w:color w:val="000000"/>
                <w:lang w:eastAsia="pt-BR"/>
              </w:rPr>
              <w:t>Todas os sábados e domingos por três horas no período da manhã.</w:t>
            </w:r>
          </w:p>
        </w:tc>
      </w:tr>
      <w:tr w:rsidR="00802CF2" w:rsidRPr="00802CF2" w14:paraId="369C30AF" w14:textId="77777777" w:rsidTr="00802CF2">
        <w:tc>
          <w:tcPr>
            <w:tcW w:w="3450" w:type="dxa"/>
            <w:tcBorders>
              <w:top w:val="outset" w:sz="6" w:space="0" w:color="auto"/>
              <w:left w:val="outset" w:sz="6" w:space="0" w:color="auto"/>
              <w:bottom w:val="outset" w:sz="6" w:space="0" w:color="auto"/>
              <w:right w:val="outset" w:sz="6" w:space="0" w:color="auto"/>
            </w:tcBorders>
            <w:vAlign w:val="center"/>
            <w:hideMark/>
          </w:tcPr>
          <w:p w14:paraId="63012A83" w14:textId="77777777" w:rsidR="00802CF2" w:rsidRPr="00802CF2" w:rsidRDefault="00802CF2" w:rsidP="00802CF2">
            <w:pPr>
              <w:spacing w:after="0" w:line="240" w:lineRule="auto"/>
              <w:ind w:left="40" w:right="40"/>
              <w:rPr>
                <w:rFonts w:ascii="Calibri" w:eastAsia="Times New Roman" w:hAnsi="Calibri" w:cs="Calibri"/>
                <w:color w:val="000000"/>
                <w:lang w:eastAsia="pt-BR"/>
              </w:rPr>
            </w:pPr>
            <w:r w:rsidRPr="00802CF2">
              <w:rPr>
                <w:rFonts w:ascii="Calibri" w:eastAsia="Times New Roman" w:hAnsi="Calibri" w:cs="Calibri"/>
                <w:color w:val="000000"/>
                <w:lang w:eastAsia="pt-BR"/>
              </w:rPr>
              <w:t>Atividades especiais</w:t>
            </w:r>
          </w:p>
        </w:tc>
        <w:tc>
          <w:tcPr>
            <w:tcW w:w="3750" w:type="dxa"/>
            <w:tcBorders>
              <w:top w:val="outset" w:sz="6" w:space="0" w:color="auto"/>
              <w:left w:val="outset" w:sz="6" w:space="0" w:color="auto"/>
              <w:bottom w:val="outset" w:sz="6" w:space="0" w:color="auto"/>
              <w:right w:val="outset" w:sz="6" w:space="0" w:color="auto"/>
            </w:tcBorders>
            <w:vAlign w:val="center"/>
            <w:hideMark/>
          </w:tcPr>
          <w:p w14:paraId="3EC8C0E0" w14:textId="77777777" w:rsidR="00802CF2" w:rsidRPr="00802CF2" w:rsidRDefault="00802CF2" w:rsidP="00802CF2">
            <w:pPr>
              <w:spacing w:after="0" w:line="240" w:lineRule="auto"/>
              <w:ind w:left="40" w:right="40"/>
              <w:rPr>
                <w:rFonts w:ascii="Calibri" w:eastAsia="Times New Roman" w:hAnsi="Calibri" w:cs="Calibri"/>
                <w:color w:val="000000"/>
                <w:lang w:eastAsia="pt-BR"/>
              </w:rPr>
            </w:pPr>
            <w:r w:rsidRPr="00802CF2">
              <w:rPr>
                <w:rFonts w:ascii="Calibri" w:eastAsia="Times New Roman" w:hAnsi="Calibri" w:cs="Calibri"/>
                <w:color w:val="000000"/>
                <w:lang w:eastAsia="pt-BR"/>
              </w:rPr>
              <w:t>No mínimo, uma vez ao ano. </w:t>
            </w:r>
          </w:p>
        </w:tc>
      </w:tr>
    </w:tbl>
    <w:p w14:paraId="21048537"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 </w:t>
      </w:r>
    </w:p>
    <w:p w14:paraId="45774813" w14:textId="77777777" w:rsidR="00802CF2" w:rsidRPr="00802CF2" w:rsidRDefault="00802CF2" w:rsidP="00802CF2">
      <w:pPr>
        <w:spacing w:after="0" w:line="240" w:lineRule="auto"/>
        <w:ind w:left="60" w:right="60"/>
        <w:jc w:val="center"/>
        <w:rPr>
          <w:rFonts w:ascii="Calibri" w:eastAsia="Times New Roman" w:hAnsi="Calibri" w:cs="Calibri"/>
          <w:color w:val="000000"/>
          <w:lang w:eastAsia="pt-BR"/>
        </w:rPr>
      </w:pPr>
      <w:r w:rsidRPr="00802CF2">
        <w:rPr>
          <w:rFonts w:ascii="Calibri" w:eastAsia="Times New Roman" w:hAnsi="Calibri" w:cs="Calibri"/>
          <w:color w:val="000000"/>
          <w:lang w:eastAsia="pt-BR"/>
        </w:rPr>
        <w:t> </w:t>
      </w:r>
    </w:p>
    <w:p w14:paraId="0C14EA7B" w14:textId="77777777" w:rsidR="00802CF2" w:rsidRPr="00802CF2" w:rsidRDefault="00802CF2" w:rsidP="00802CF2">
      <w:pPr>
        <w:spacing w:after="0" w:line="240" w:lineRule="auto"/>
        <w:ind w:left="45" w:right="45"/>
        <w:rPr>
          <w:rFonts w:ascii="Calibri" w:eastAsia="Times New Roman" w:hAnsi="Calibri" w:cs="Calibri"/>
          <w:color w:val="000000"/>
          <w:lang w:eastAsia="pt-BR"/>
        </w:rPr>
      </w:pPr>
      <w:r w:rsidRPr="00802CF2">
        <w:rPr>
          <w:rFonts w:ascii="Calibri" w:eastAsia="Times New Roman" w:hAnsi="Calibri" w:cs="Calibri"/>
          <w:color w:val="000000"/>
          <w:lang w:eastAsia="pt-BR"/>
        </w:rPr>
        <w:t>* Os horários do cronograma podem ser alterados desde de que acordado com a SEMIL/DPU.</w:t>
      </w:r>
    </w:p>
    <w:p w14:paraId="1974218A"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03A329AE"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ETAPAS DE EXECUÇÃO</w:t>
      </w:r>
    </w:p>
    <w:p w14:paraId="5789FF6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No projeto as atividades de pedestrianismo deverão ser ministradas durante o ano inteiro (janeiro a dezembro), podendo haver interrupção devido a motivo de férias de equipe técnica e/ou administrativa.</w:t>
      </w:r>
    </w:p>
    <w:p w14:paraId="147C62EC"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período de execução das atividades do projeto é de 12 (doze) meses, devendo obedecer ao cronograma de execução especificado na Tabela 01.</w:t>
      </w:r>
    </w:p>
    <w:p w14:paraId="2C54E142" w14:textId="66A9A06D"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Etapas do projeto (anual):</w:t>
      </w:r>
    </w:p>
    <w:p w14:paraId="31B46FC6"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1ª etapa: Cadastramento dos participantes;</w:t>
      </w:r>
    </w:p>
    <w:p w14:paraId="55106367"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2ª etapa: Planejamento das atividades do 1º semestre do ano;</w:t>
      </w:r>
    </w:p>
    <w:p w14:paraId="234E4200"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3ª etapa: Avaliação semestral das atividades do 1º semestre do ano;</w:t>
      </w:r>
    </w:p>
    <w:p w14:paraId="6E266557"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4ª etapa: Cadastramento no segundo semestre dos participantes;</w:t>
      </w:r>
    </w:p>
    <w:p w14:paraId="34BB49E8"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5ª etapa: Planejamento das atividades do 2º semestre do ano;</w:t>
      </w:r>
    </w:p>
    <w:p w14:paraId="4069F92C" w14:textId="77777777" w:rsid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6ª etapa: Avaliação semestral das atividades do 2º semestre do ano;</w:t>
      </w:r>
    </w:p>
    <w:p w14:paraId="51E7AA52" w14:textId="0AA03DA7" w:rsidR="00802CF2" w:rsidRPr="00802CF2" w:rsidRDefault="00802CF2" w:rsidP="00802CF2">
      <w:pPr>
        <w:pStyle w:val="PargrafodaLista"/>
        <w:numPr>
          <w:ilvl w:val="0"/>
          <w:numId w:val="3"/>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7ª etapa: Relatório anual de contas e atividades.</w:t>
      </w:r>
    </w:p>
    <w:p w14:paraId="3F7DF583"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4B8C1063" w14:textId="0E47101C"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DETALHAMENTO DAS ETAPAS</w:t>
      </w:r>
    </w:p>
    <w:p w14:paraId="5741BCC4" w14:textId="77777777" w:rsidR="003C0731" w:rsidRDefault="003C0731" w:rsidP="003C0731">
      <w:pPr>
        <w:pStyle w:val="PargrafodaLista"/>
        <w:spacing w:before="120" w:after="120" w:line="240" w:lineRule="auto"/>
        <w:ind w:left="840" w:right="120"/>
        <w:jc w:val="both"/>
        <w:rPr>
          <w:rFonts w:ascii="Calibri" w:eastAsia="Times New Roman" w:hAnsi="Calibri" w:cs="Calibri"/>
          <w:color w:val="000000"/>
          <w:sz w:val="27"/>
          <w:szCs w:val="27"/>
          <w:lang w:eastAsia="pt-BR"/>
        </w:rPr>
      </w:pPr>
    </w:p>
    <w:p w14:paraId="6CA4661A" w14:textId="54D0063C"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b/>
          <w:bCs/>
          <w:color w:val="000000"/>
          <w:sz w:val="27"/>
          <w:szCs w:val="27"/>
          <w:lang w:eastAsia="pt-BR"/>
        </w:rPr>
        <w:t>1ª etapa: Cadastramento dos participantes. </w:t>
      </w:r>
      <w:r w:rsidRPr="00802CF2">
        <w:rPr>
          <w:rFonts w:ascii="Calibri" w:eastAsia="Times New Roman" w:hAnsi="Calibri" w:cs="Calibri"/>
          <w:color w:val="000000"/>
          <w:sz w:val="27"/>
          <w:szCs w:val="27"/>
          <w:lang w:eastAsia="pt-BR"/>
        </w:rPr>
        <w:t xml:space="preserve">A OSC deverá garantir a oferta de vagas de forma compatível com os horários do </w:t>
      </w:r>
      <w:r w:rsidRPr="00802CF2">
        <w:rPr>
          <w:rFonts w:ascii="Calibri" w:eastAsia="Times New Roman" w:hAnsi="Calibri" w:cs="Calibri"/>
          <w:color w:val="000000"/>
          <w:sz w:val="27"/>
          <w:szCs w:val="27"/>
          <w:lang w:eastAsia="pt-BR"/>
        </w:rPr>
        <w:lastRenderedPageBreak/>
        <w:t>desenvolvimento das atividades e com as estruturas envolvidas do Parque Estadual do Belém Manoel Pitta nos critérios estabelecidos no item 4.3. do presente termo. Caso a quantidade máxima de vagas possíveis a serem disponibilizadas sejam preenchidas, a OSC poderá trabalhar com lista de espera e os interessados serão convocadas por ordem de inscrição desta lista.</w:t>
      </w:r>
    </w:p>
    <w:p w14:paraId="79EDEABA" w14:textId="77777777" w:rsidR="00802CF2" w:rsidRPr="00802CF2" w:rsidRDefault="00802CF2" w:rsidP="00802CF2">
      <w:pPr>
        <w:spacing w:before="120" w:after="120" w:line="240" w:lineRule="auto"/>
        <w:ind w:left="120" w:right="120" w:firstLine="1418"/>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Para os beneficiários: A pessoa com deficiência interessada em participar do projeto deverá realizar à inscrição junto da OSC apresentando os documentos solicitados, incluindo laudo médico autorizando a prática de exercício físico. O período de inscrição poderá ocorrer nos primeiros onze meses do projeto.</w:t>
      </w:r>
    </w:p>
    <w:p w14:paraId="3752E85E" w14:textId="4150905A" w:rsidR="00802CF2" w:rsidRDefault="00802CF2" w:rsidP="00802CF2">
      <w:pPr>
        <w:spacing w:before="120" w:after="120" w:line="240" w:lineRule="auto"/>
        <w:ind w:left="120" w:right="120" w:firstLine="1418"/>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b) Para o curso de formação de guias: Os interessados devem realizar à inscrição junto da OSC apresentando os documentos solicitados e preenchendo, no mínimo, um questionário que aponte a prontidão para a atividade física. Caso a OSC julgue necessário, poderá ser solicitado também a apresentação de laudo médico autorizando a prática de exercício físico. O período de inscrição será feito trimestralmente.</w:t>
      </w:r>
    </w:p>
    <w:p w14:paraId="4ABEA184" w14:textId="77777777" w:rsidR="003C0731" w:rsidRPr="00802CF2" w:rsidRDefault="003C0731" w:rsidP="00802CF2">
      <w:pPr>
        <w:spacing w:before="120" w:after="120" w:line="240" w:lineRule="auto"/>
        <w:ind w:left="120" w:right="120" w:firstLine="1418"/>
        <w:jc w:val="both"/>
        <w:rPr>
          <w:rFonts w:ascii="Calibri" w:eastAsia="Times New Roman" w:hAnsi="Calibri" w:cs="Calibri"/>
          <w:color w:val="000000"/>
          <w:sz w:val="27"/>
          <w:szCs w:val="27"/>
          <w:lang w:eastAsia="pt-BR"/>
        </w:rPr>
      </w:pPr>
    </w:p>
    <w:p w14:paraId="02A92F4D" w14:textId="3F7DBF65"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4.8.2. </w:t>
      </w:r>
      <w:r w:rsidRPr="00802CF2">
        <w:rPr>
          <w:rFonts w:ascii="Calibri" w:eastAsia="Times New Roman" w:hAnsi="Calibri" w:cs="Calibri"/>
          <w:b/>
          <w:bCs/>
          <w:color w:val="000000"/>
          <w:sz w:val="27"/>
          <w:szCs w:val="27"/>
          <w:lang w:eastAsia="pt-BR"/>
        </w:rPr>
        <w:t>2ª etapa: Planejamento das atividades do 1º semestre do ano. </w:t>
      </w:r>
      <w:r w:rsidRPr="00802CF2">
        <w:rPr>
          <w:rFonts w:ascii="Calibri" w:eastAsia="Times New Roman" w:hAnsi="Calibri" w:cs="Calibri"/>
          <w:color w:val="000000"/>
          <w:sz w:val="27"/>
          <w:szCs w:val="27"/>
          <w:lang w:eastAsia="pt-BR"/>
        </w:rPr>
        <w:t>Tal planejamento deve ocorrer conforme estabelecido no Cronograma de atividades (Tabela 01).</w:t>
      </w:r>
    </w:p>
    <w:p w14:paraId="2F884596" w14:textId="6EB5EE83"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a) </w:t>
      </w:r>
      <w:r w:rsidRPr="00802CF2">
        <w:rPr>
          <w:rFonts w:ascii="Calibri" w:eastAsia="Times New Roman" w:hAnsi="Calibri" w:cs="Calibri"/>
          <w:color w:val="000000"/>
          <w:sz w:val="27"/>
          <w:szCs w:val="27"/>
          <w:lang w:eastAsia="pt-BR"/>
        </w:rPr>
        <w:t>Metodologia: ênfase no esporte como ferramenta central para o desenvolvimento integral do indivíduo. A abordagem foca na interação prática, na reflexão e na colaboração entre os participantes, estimulando a superação de desafios físicos, emocionais e cognitivos;</w:t>
      </w:r>
    </w:p>
    <w:p w14:paraId="19E25035" w14:textId="7AD8B45E"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b) </w:t>
      </w:r>
      <w:r w:rsidRPr="00802CF2">
        <w:rPr>
          <w:rFonts w:ascii="Calibri" w:eastAsia="Times New Roman" w:hAnsi="Calibri" w:cs="Calibri"/>
          <w:color w:val="000000"/>
          <w:sz w:val="27"/>
          <w:szCs w:val="27"/>
          <w:lang w:eastAsia="pt-BR"/>
        </w:rPr>
        <w:t>Afetivo: os alunos são incentivados a uma busca por sociabilização e integração;</w:t>
      </w:r>
    </w:p>
    <w:p w14:paraId="1A2BBB07" w14:textId="62460DA1"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c) </w:t>
      </w:r>
      <w:r w:rsidRPr="00802CF2">
        <w:rPr>
          <w:rFonts w:ascii="Calibri" w:eastAsia="Times New Roman" w:hAnsi="Calibri" w:cs="Calibri"/>
          <w:color w:val="000000"/>
          <w:sz w:val="27"/>
          <w:szCs w:val="27"/>
          <w:lang w:eastAsia="pt-BR"/>
        </w:rPr>
        <w:t>Cognitivo: desenvolver o raciocínio lógico através das ações e desafios promovidos pelo esporte;</w:t>
      </w:r>
    </w:p>
    <w:p w14:paraId="1AB2B0BF" w14:textId="236517E8"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d) </w:t>
      </w:r>
      <w:r w:rsidRPr="00802CF2">
        <w:rPr>
          <w:rFonts w:ascii="Calibri" w:eastAsia="Times New Roman" w:hAnsi="Calibri" w:cs="Calibri"/>
          <w:color w:val="000000"/>
          <w:sz w:val="27"/>
          <w:szCs w:val="27"/>
          <w:lang w:eastAsia="pt-BR"/>
        </w:rPr>
        <w:t>Motor: são trabalhadas habilidades que envolvem coordenação motora, percepção temporal e espacial;</w:t>
      </w:r>
    </w:p>
    <w:p w14:paraId="54334183" w14:textId="78BBF39A"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4.8.3. </w:t>
      </w:r>
      <w:r w:rsidRPr="00802CF2">
        <w:rPr>
          <w:rFonts w:ascii="Calibri" w:eastAsia="Times New Roman" w:hAnsi="Calibri" w:cs="Calibri"/>
          <w:b/>
          <w:bCs/>
          <w:color w:val="000000"/>
          <w:sz w:val="27"/>
          <w:szCs w:val="27"/>
          <w:lang w:eastAsia="pt-BR"/>
        </w:rPr>
        <w:t>3ª etapa: Avaliação semestral das atividades do 1º semestre do ano.</w:t>
      </w:r>
      <w:r w:rsidRPr="00802CF2">
        <w:rPr>
          <w:rFonts w:ascii="Calibri" w:eastAsia="Times New Roman" w:hAnsi="Calibri" w:cs="Calibri"/>
          <w:color w:val="000000"/>
          <w:sz w:val="27"/>
          <w:szCs w:val="27"/>
          <w:lang w:eastAsia="pt-BR"/>
        </w:rPr>
        <w:t> A avaliação semestral das atividades deverá ser ministrada pelo supervisor do projeto da OSC, e serão considerados os seguintes aspectos:</w:t>
      </w:r>
    </w:p>
    <w:p w14:paraId="4D652C49" w14:textId="09658003"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a) </w:t>
      </w:r>
      <w:r w:rsidRPr="00802CF2">
        <w:rPr>
          <w:rFonts w:ascii="Calibri" w:eastAsia="Times New Roman" w:hAnsi="Calibri" w:cs="Calibri"/>
          <w:color w:val="000000"/>
          <w:sz w:val="27"/>
          <w:szCs w:val="27"/>
          <w:lang w:eastAsia="pt-BR"/>
        </w:rPr>
        <w:t>Frequência;</w:t>
      </w:r>
    </w:p>
    <w:p w14:paraId="3D60C35D" w14:textId="11F222E2"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b) </w:t>
      </w:r>
      <w:r w:rsidRPr="00802CF2">
        <w:rPr>
          <w:rFonts w:ascii="Calibri" w:eastAsia="Times New Roman" w:hAnsi="Calibri" w:cs="Calibri"/>
          <w:color w:val="000000"/>
          <w:sz w:val="27"/>
          <w:szCs w:val="27"/>
          <w:lang w:eastAsia="pt-BR"/>
        </w:rPr>
        <w:t>Quantidade de envolvidos por atividade;</w:t>
      </w:r>
    </w:p>
    <w:p w14:paraId="44338E44" w14:textId="55B570CF"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c) </w:t>
      </w:r>
      <w:r w:rsidRPr="00802CF2">
        <w:rPr>
          <w:rFonts w:ascii="Calibri" w:eastAsia="Times New Roman" w:hAnsi="Calibri" w:cs="Calibri"/>
          <w:color w:val="000000"/>
          <w:sz w:val="27"/>
          <w:szCs w:val="27"/>
          <w:lang w:eastAsia="pt-BR"/>
        </w:rPr>
        <w:t>Habilidades exercidas em cada ação;</w:t>
      </w:r>
    </w:p>
    <w:p w14:paraId="08E5AB7C" w14:textId="5542345C"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lastRenderedPageBreak/>
        <w:t xml:space="preserve">d) </w:t>
      </w:r>
      <w:r w:rsidRPr="00802CF2">
        <w:rPr>
          <w:rFonts w:ascii="Calibri" w:eastAsia="Times New Roman" w:hAnsi="Calibri" w:cs="Calibri"/>
          <w:color w:val="000000"/>
          <w:sz w:val="27"/>
          <w:szCs w:val="27"/>
          <w:lang w:eastAsia="pt-BR"/>
        </w:rPr>
        <w:t>Desenvolvimento como indivíduos e dentro do coletivo;</w:t>
      </w:r>
    </w:p>
    <w:p w14:paraId="6DF07349" w14:textId="75F55B8E"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e) </w:t>
      </w:r>
      <w:r w:rsidRPr="00802CF2">
        <w:rPr>
          <w:rFonts w:ascii="Calibri" w:eastAsia="Times New Roman" w:hAnsi="Calibri" w:cs="Calibri"/>
          <w:color w:val="000000"/>
          <w:sz w:val="27"/>
          <w:szCs w:val="27"/>
          <w:lang w:eastAsia="pt-BR"/>
        </w:rPr>
        <w:t>Dedicação e respeito.</w:t>
      </w:r>
    </w:p>
    <w:p w14:paraId="1266BC34" w14:textId="77777777" w:rsid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4.8.4. </w:t>
      </w:r>
      <w:r w:rsidRPr="00802CF2">
        <w:rPr>
          <w:rFonts w:ascii="Calibri" w:eastAsia="Times New Roman" w:hAnsi="Calibri" w:cs="Calibri"/>
          <w:b/>
          <w:bCs/>
          <w:color w:val="000000"/>
          <w:sz w:val="27"/>
          <w:szCs w:val="27"/>
          <w:lang w:eastAsia="pt-BR"/>
        </w:rPr>
        <w:t>4ª etapa: Cadastramento no segundo semestre dos participantes de acordo com cada faixa etária.</w:t>
      </w:r>
      <w:r w:rsidRPr="00802CF2">
        <w:rPr>
          <w:rFonts w:ascii="Calibri" w:eastAsia="Times New Roman" w:hAnsi="Calibri" w:cs="Calibri"/>
          <w:color w:val="000000"/>
          <w:sz w:val="27"/>
          <w:szCs w:val="27"/>
          <w:lang w:eastAsia="pt-BR"/>
        </w:rPr>
        <w:t> Idem à 1ª etapa.</w:t>
      </w:r>
    </w:p>
    <w:p w14:paraId="202CB3FF" w14:textId="37F76F99"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4.8.5. </w:t>
      </w:r>
      <w:r w:rsidRPr="00802CF2">
        <w:rPr>
          <w:rFonts w:ascii="Calibri" w:eastAsia="Times New Roman" w:hAnsi="Calibri" w:cs="Calibri"/>
          <w:b/>
          <w:bCs/>
          <w:color w:val="000000"/>
          <w:sz w:val="27"/>
          <w:szCs w:val="27"/>
          <w:lang w:eastAsia="pt-BR"/>
        </w:rPr>
        <w:t>5ª etapa: Planejamento das atividades do 2º semestre do ano.</w:t>
      </w:r>
      <w:r w:rsidRPr="00802CF2">
        <w:rPr>
          <w:rFonts w:ascii="Calibri" w:eastAsia="Times New Roman" w:hAnsi="Calibri" w:cs="Calibri"/>
          <w:color w:val="000000"/>
          <w:sz w:val="27"/>
          <w:szCs w:val="27"/>
          <w:lang w:eastAsia="pt-BR"/>
        </w:rPr>
        <w:t> Idem à 2ª etapa.</w:t>
      </w:r>
    </w:p>
    <w:p w14:paraId="6E0200EB" w14:textId="3BF632C8"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4.8.6. </w:t>
      </w:r>
      <w:r w:rsidRPr="00802CF2">
        <w:rPr>
          <w:rFonts w:ascii="Calibri" w:eastAsia="Times New Roman" w:hAnsi="Calibri" w:cs="Calibri"/>
          <w:b/>
          <w:bCs/>
          <w:color w:val="000000"/>
          <w:sz w:val="27"/>
          <w:szCs w:val="27"/>
          <w:lang w:eastAsia="pt-BR"/>
        </w:rPr>
        <w:t>6ª etapa: Avaliação semestral das atividades do 2º semestre do ano.</w:t>
      </w:r>
      <w:r w:rsidRPr="00802CF2">
        <w:rPr>
          <w:rFonts w:ascii="Calibri" w:eastAsia="Times New Roman" w:hAnsi="Calibri" w:cs="Calibri"/>
          <w:color w:val="000000"/>
          <w:sz w:val="27"/>
          <w:szCs w:val="27"/>
          <w:lang w:eastAsia="pt-BR"/>
        </w:rPr>
        <w:t> Idem à 3ª etapa.</w:t>
      </w:r>
    </w:p>
    <w:p w14:paraId="5DEA3BEB" w14:textId="660E0392"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4.8.7. </w:t>
      </w:r>
      <w:r w:rsidRPr="00802CF2">
        <w:rPr>
          <w:rFonts w:ascii="Calibri" w:eastAsia="Times New Roman" w:hAnsi="Calibri" w:cs="Calibri"/>
          <w:b/>
          <w:bCs/>
          <w:color w:val="000000"/>
          <w:sz w:val="27"/>
          <w:szCs w:val="27"/>
          <w:lang w:eastAsia="pt-BR"/>
        </w:rPr>
        <w:t>7ª etapa: Relatório anual de contas e atividades.</w:t>
      </w:r>
      <w:r w:rsidRPr="00802CF2">
        <w:rPr>
          <w:rFonts w:ascii="Calibri" w:eastAsia="Times New Roman" w:hAnsi="Calibri" w:cs="Calibri"/>
          <w:color w:val="000000"/>
          <w:sz w:val="27"/>
          <w:szCs w:val="27"/>
          <w:lang w:eastAsia="pt-BR"/>
        </w:rPr>
        <w:t> A OSC responsável deverá encaminhar à administração da Diretoria de Parques Urbanos relatório de cumprimento do objeto contendo:</w:t>
      </w:r>
    </w:p>
    <w:p w14:paraId="7E098CA5" w14:textId="4AD93A70"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a) </w:t>
      </w:r>
      <w:r w:rsidRPr="00802CF2">
        <w:rPr>
          <w:rFonts w:ascii="Calibri" w:eastAsia="Times New Roman" w:hAnsi="Calibri" w:cs="Calibri"/>
          <w:color w:val="000000"/>
          <w:sz w:val="27"/>
          <w:szCs w:val="27"/>
          <w:lang w:eastAsia="pt-BR"/>
        </w:rPr>
        <w:t>Número de participantes atendidos;</w:t>
      </w:r>
    </w:p>
    <w:p w14:paraId="4F6593D2" w14:textId="54B66346"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b) </w:t>
      </w:r>
      <w:r w:rsidRPr="00802CF2">
        <w:rPr>
          <w:rFonts w:ascii="Calibri" w:eastAsia="Times New Roman" w:hAnsi="Calibri" w:cs="Calibri"/>
          <w:color w:val="000000"/>
          <w:sz w:val="27"/>
          <w:szCs w:val="27"/>
          <w:lang w:eastAsia="pt-BR"/>
        </w:rPr>
        <w:t>Detalhamento das atividades desenvolvidas no período;</w:t>
      </w:r>
    </w:p>
    <w:p w14:paraId="06E4BF20" w14:textId="17E4C01C"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c) </w:t>
      </w:r>
      <w:r w:rsidRPr="00802CF2">
        <w:rPr>
          <w:rFonts w:ascii="Calibri" w:eastAsia="Times New Roman" w:hAnsi="Calibri" w:cs="Calibri"/>
          <w:color w:val="000000"/>
          <w:sz w:val="27"/>
          <w:szCs w:val="27"/>
          <w:lang w:eastAsia="pt-BR"/>
        </w:rPr>
        <w:t>Relatório fotográfico demonstrando as atividades de desenvolvidas;</w:t>
      </w:r>
    </w:p>
    <w:p w14:paraId="1084EE51" w14:textId="1D9DBCCF" w:rsidR="00802CF2" w:rsidRPr="00802CF2" w:rsidRDefault="00802CF2" w:rsidP="00802CF2">
      <w:pPr>
        <w:spacing w:before="120" w:after="120" w:line="240" w:lineRule="auto"/>
        <w:ind w:left="180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d) </w:t>
      </w:r>
      <w:r w:rsidRPr="00802CF2">
        <w:rPr>
          <w:rFonts w:ascii="Calibri" w:eastAsia="Times New Roman" w:hAnsi="Calibri" w:cs="Calibri"/>
          <w:color w:val="000000"/>
          <w:sz w:val="27"/>
          <w:szCs w:val="27"/>
          <w:lang w:eastAsia="pt-BR"/>
        </w:rPr>
        <w:t>Avaliação dos resultados obtidos frente aos objetivos propostos.</w:t>
      </w:r>
    </w:p>
    <w:p w14:paraId="56B75C09"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5352B177" w14:textId="120C3470"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IDENTIFICAÇÃO DAS INSTALAÇÕES FÍSICAS</w:t>
      </w:r>
    </w:p>
    <w:p w14:paraId="266F0729" w14:textId="70F54F64"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Instalações físicas:</w:t>
      </w:r>
    </w:p>
    <w:p w14:paraId="0C727D13" w14:textId="1CBDE511" w:rsidR="00802CF2" w:rsidRPr="00802CF2" w:rsidRDefault="00802CF2" w:rsidP="00802CF2">
      <w:pPr>
        <w:pStyle w:val="PargrafodaLista"/>
        <w:numPr>
          <w:ilvl w:val="0"/>
          <w:numId w:val="4"/>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Área denominada "Ciclovia" do Parque Estadual do Belém Manoel Pitta, conforme mapa de localização (Anexo IA);</w:t>
      </w:r>
    </w:p>
    <w:p w14:paraId="1F34F8D4" w14:textId="7BA0D66C"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Recursos humanos:</w:t>
      </w:r>
    </w:p>
    <w:p w14:paraId="04F1EFF0" w14:textId="77777777" w:rsidR="00802CF2" w:rsidRDefault="00802CF2" w:rsidP="00802CF2">
      <w:pPr>
        <w:pStyle w:val="PargrafodaLista"/>
        <w:numPr>
          <w:ilvl w:val="0"/>
          <w:numId w:val="5"/>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Cada grupo deve ser assistido, preferencialmente, por, no mínimo, 01 (um) adulto que apresenta experiência nas atividades tratadas no presente Termo de Referência. A OSC será responsável por identificar se há a necessidade de fornecimento de maior número de adultos para assistirem nas atividades;</w:t>
      </w:r>
    </w:p>
    <w:p w14:paraId="3897DA01" w14:textId="251A81CA" w:rsidR="00802CF2" w:rsidRPr="00802CF2" w:rsidRDefault="00802CF2" w:rsidP="00802CF2">
      <w:pPr>
        <w:pStyle w:val="PargrafodaLista"/>
        <w:numPr>
          <w:ilvl w:val="0"/>
          <w:numId w:val="5"/>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remuneração dos recursos humanos envolvidos no Projeto será de responsabilidade da OSC.</w:t>
      </w:r>
    </w:p>
    <w:p w14:paraId="349337D3"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0ED15CDE" w14:textId="045B1796"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RESULTADOS ESPERADOS</w:t>
      </w:r>
    </w:p>
    <w:p w14:paraId="10E46181" w14:textId="29A14A4E"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Impactos diretos:</w:t>
      </w:r>
    </w:p>
    <w:p w14:paraId="4BBBFAC5" w14:textId="77777777" w:rsidR="00802CF2" w:rsidRDefault="00802CF2" w:rsidP="00802CF2">
      <w:pPr>
        <w:pStyle w:val="PargrafodaLista"/>
        <w:numPr>
          <w:ilvl w:val="0"/>
          <w:numId w:val="6"/>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Desenvolvimento das capacidades e habilidades motoras dos participantes;</w:t>
      </w:r>
    </w:p>
    <w:p w14:paraId="4022ACDC" w14:textId="77777777" w:rsidR="00802CF2" w:rsidRDefault="00802CF2" w:rsidP="00802CF2">
      <w:pPr>
        <w:pStyle w:val="PargrafodaLista"/>
        <w:numPr>
          <w:ilvl w:val="0"/>
          <w:numId w:val="6"/>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Aumento da participação social das pessoas com deficiência no espaço público;</w:t>
      </w:r>
    </w:p>
    <w:p w14:paraId="0C247D6B" w14:textId="77777777" w:rsidR="00802CF2" w:rsidRDefault="00802CF2" w:rsidP="00802CF2">
      <w:pPr>
        <w:pStyle w:val="PargrafodaLista"/>
        <w:numPr>
          <w:ilvl w:val="0"/>
          <w:numId w:val="6"/>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Promoção de saúde física e mental;</w:t>
      </w:r>
    </w:p>
    <w:p w14:paraId="7349D239" w14:textId="77777777" w:rsidR="00802CF2" w:rsidRDefault="00802CF2" w:rsidP="00802CF2">
      <w:pPr>
        <w:pStyle w:val="PargrafodaLista"/>
        <w:numPr>
          <w:ilvl w:val="0"/>
          <w:numId w:val="6"/>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Criação de oportunidades capacitação;</w:t>
      </w:r>
    </w:p>
    <w:p w14:paraId="021BE0C7" w14:textId="3EF5B5BC" w:rsidR="00802CF2" w:rsidRPr="00802CF2" w:rsidRDefault="00802CF2" w:rsidP="00802CF2">
      <w:pPr>
        <w:pStyle w:val="PargrafodaLista"/>
        <w:numPr>
          <w:ilvl w:val="0"/>
          <w:numId w:val="6"/>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Divulgação do Parque Estadual do Belém Manoel Pitta.</w:t>
      </w:r>
    </w:p>
    <w:p w14:paraId="028AF3DC" w14:textId="476B88FF"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Impactos indiretos:</w:t>
      </w:r>
    </w:p>
    <w:p w14:paraId="6EE065D6" w14:textId="77777777" w:rsidR="00802CF2" w:rsidRDefault="00802CF2" w:rsidP="00802CF2">
      <w:pPr>
        <w:pStyle w:val="PargrafodaLista"/>
        <w:numPr>
          <w:ilvl w:val="0"/>
          <w:numId w:val="7"/>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Aumento do número de visitação do Parque Estadual do Belém Manoel Pitta;</w:t>
      </w:r>
    </w:p>
    <w:p w14:paraId="23363FFF" w14:textId="21F92A81" w:rsidR="00802CF2" w:rsidRPr="00802CF2" w:rsidRDefault="00802CF2" w:rsidP="00802CF2">
      <w:pPr>
        <w:pStyle w:val="PargrafodaLista"/>
        <w:numPr>
          <w:ilvl w:val="0"/>
          <w:numId w:val="7"/>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Educação e sensibilização sobre o tema de acessibilidade.</w:t>
      </w:r>
    </w:p>
    <w:p w14:paraId="7341D0DB"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3EF65CBE" w14:textId="27AC08F9"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PROPONENTE</w:t>
      </w:r>
    </w:p>
    <w:p w14:paraId="1A43E101"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Para a celebração do Acordo de Cooperação, a OSC deverá atender aos requisitos descritos nos artigos 33 e 34 da Lei Federal nº 13.019/2014, com redação dada pela Lei n 13.204/2015 bem como àqueles inerentes ao desenvolvimento das atividades ou ações pertinentes ao objeto da parceria, conforme legislação e regulamentação aplicável, cuja comprovação de atendimento dar-se-á somente depois de encerrada a etapa competitiva e ordenadas as propostas.</w:t>
      </w:r>
    </w:p>
    <w:p w14:paraId="0E838F4F" w14:textId="212EC4E2"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Todas as instruções do processo seletivo das Organização da Sociedade Civil serão realizadas com base nos critérios técnicos de julgamentos de acordo com as condições estabelecidas no presente Edital.</w:t>
      </w:r>
    </w:p>
    <w:p w14:paraId="681D7ED2"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4E97362C" w14:textId="2C9B11BB"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DO PLANO DE TRABALHO</w:t>
      </w:r>
    </w:p>
    <w:p w14:paraId="1A0627CE"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7931B9F0" w14:textId="4F6A4E3A"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Plano de Trabalho deverá conter no mínimo os seguintes elementos, devendo-se observar, também o disposto neste termo e seus anexos:</w:t>
      </w:r>
    </w:p>
    <w:p w14:paraId="3C1C5EB1" w14:textId="77777777" w:rsid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Identificação da OSC, endereço completo da sede, CNPJ, data da constituição, telefone fixo, e-mail e finalidade estatutária, bem como o nome, RG, CPF, endereço residencial completo do representante legal, telefone fixo e e-mail do seu representante legal;</w:t>
      </w:r>
    </w:p>
    <w:p w14:paraId="6C273921" w14:textId="77777777" w:rsid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Descrição dos objetivos gerais e específicos do Projeto;</w:t>
      </w:r>
    </w:p>
    <w:p w14:paraId="744A3ADD" w14:textId="77777777" w:rsid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Relação das atividades que serão executadas, metas a serem atingidas e indicadores que aferirão o seu cumprimento;</w:t>
      </w:r>
    </w:p>
    <w:p w14:paraId="20A825E5" w14:textId="77777777" w:rsid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Cronograma de execução das atividades do Projeto;</w:t>
      </w:r>
    </w:p>
    <w:p w14:paraId="0B0A9459" w14:textId="77777777" w:rsid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Informações sobre a equipe a ser alocada para o desenvolvimento das atividades, indicando a qualificação profissional, as atribuições e responsabilidades das diversas áreas, além do número de pessoas que será empregado e o critério de distribuição de pessoal;</w:t>
      </w:r>
    </w:p>
    <w:p w14:paraId="6A0A9579" w14:textId="10B1AB70" w:rsidR="00802CF2" w:rsidRPr="00802CF2" w:rsidRDefault="00802CF2" w:rsidP="00802CF2">
      <w:pPr>
        <w:pStyle w:val="PargrafodaLista"/>
        <w:numPr>
          <w:ilvl w:val="0"/>
          <w:numId w:val="8"/>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Descrição das experiências prévias na realização de atividades ou projetos relacionados ao objeto da parceria que se pretende formalizar ou de natureza semelhante, informando sua duração, local, abrangência, beneficiários, além de outros dados que se mostrarem pertinentes;</w:t>
      </w:r>
    </w:p>
    <w:p w14:paraId="46EDE63A"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 Plano de Trabalho deverá ser assinado pelo seu representante legal e ser feito em papel timbrado do proponente (OSC) em todas as suas folhas.</w:t>
      </w:r>
    </w:p>
    <w:p w14:paraId="3F95E50D"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Em se tratando de elaboração de Plano de Trabalho, objeto deste Acordo de Cooperação, todas as orientações para preenchimento dos campos do Plano de Trabalho estão contidas no Anexo V.</w:t>
      </w:r>
    </w:p>
    <w:p w14:paraId="4FAC0044" w14:textId="05E865CC"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Na elaboração do Plano de Trabalho, a OSC proponente poderá acrescentar mais detalhes conforme a necessidade, porém deverá atentar para que não disperse do escopo do Projeto.</w:t>
      </w:r>
    </w:p>
    <w:p w14:paraId="1493212C"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6B6C611C" w14:textId="7EB6FCAE"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DOS RECURSOS FINANCEIROS</w:t>
      </w:r>
    </w:p>
    <w:p w14:paraId="37D65DFE" w14:textId="77777777" w:rsidR="00802CF2" w:rsidRPr="00802CF2" w:rsidRDefault="00802CF2" w:rsidP="00802CF2">
      <w:pPr>
        <w:spacing w:after="165" w:line="240" w:lineRule="auto"/>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35E0A5A0" w14:textId="5A2218D5"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As atividades previstas no Acordo de Cooperação serão de responsabilidade dos partícipes, devendo onerar seus orçamentos próprios, não havendo quaisquer repasses de recursos financeiros ou materiais entre os signatários.</w:t>
      </w:r>
    </w:p>
    <w:p w14:paraId="063EC87D" w14:textId="77777777" w:rsidR="00802CF2" w:rsidRPr="00802CF2" w:rsidRDefault="00802CF2" w:rsidP="00802CF2">
      <w:pPr>
        <w:spacing w:after="165" w:line="240" w:lineRule="auto"/>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319E2353" w14:textId="1F65264F" w:rsidR="00802CF2" w:rsidRPr="00802CF2" w:rsidRDefault="00802CF2" w:rsidP="00802CF2">
      <w:pPr>
        <w:pStyle w:val="PargrafodaLista"/>
        <w:numPr>
          <w:ilvl w:val="0"/>
          <w:numId w:val="1"/>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02CF2">
        <w:rPr>
          <w:rFonts w:ascii="Calibri" w:eastAsia="Times New Roman" w:hAnsi="Calibri" w:cs="Calibri"/>
          <w:b/>
          <w:bCs/>
          <w:caps/>
          <w:color w:val="000000"/>
          <w:sz w:val="27"/>
          <w:szCs w:val="27"/>
          <w:shd w:val="clear" w:color="auto" w:fill="E6E6E6"/>
          <w:lang w:eastAsia="pt-BR"/>
        </w:rPr>
        <w:t>DAS RESPONSABILIDADES</w:t>
      </w:r>
    </w:p>
    <w:p w14:paraId="1ABDFEAC"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1BFC42EB"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DA ORGANIZAÇÃO DA SOCIEDADE CIVIL</w:t>
      </w:r>
    </w:p>
    <w:p w14:paraId="796BB721"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Observar, durante todo o período de ocupação da área, todas as normas de conduta definidas pela Administração do Parque, de forma a garantir a integridade das suas instalações, a convivência harmônica com os frequentadores, funcionários e prestadores de serviços do Parque, especialmente no que se refere às suas atividades e horários de funcionamento e, ainda, quanto ao excesso de ruídos e de público, em níveis que possam prejudicar a convivência com os moradores do entorno;</w:t>
      </w:r>
    </w:p>
    <w:p w14:paraId="3B5DF5DA"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lastRenderedPageBreak/>
        <w:t>Organizar calendário das atividades e apresentar para a Administração para conhecimento prévia a execução das ações;</w:t>
      </w:r>
    </w:p>
    <w:p w14:paraId="405CD0B0"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Executar todas as atividades necessárias à implementação do projeto no Parque objeto do projeto, na forma prevista neste Termo de Referência;</w:t>
      </w:r>
    </w:p>
    <w:p w14:paraId="70944143"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Designar profissionais devidamente capacitados para execução deste Termo de Referência;</w:t>
      </w:r>
    </w:p>
    <w:p w14:paraId="1C71E0D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Indicar formalmente à SEMIL/DPU, o representante da equipe ou equipe de representantes que ficará responsável por todos os contatos e comunicações referentes ao cumprimento das disposições do presente Termo;</w:t>
      </w:r>
    </w:p>
    <w:p w14:paraId="5F248E7A"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Não circular com veículos automotores nas áreas internas dos Parques durante o seu horário de funcionamento. A entrada de veículos para carga e descarga de materiais e equipamentos, somente permitida após o fechamento dos Parque até o horário de abertura, com autorização prévia da Administração do Parque. Para casos excepcionais de necessidade de entrada de veículos fora do horário estipulado no presente item, será necessário manifestação prévia por escrito da Administração do Parque;</w:t>
      </w:r>
    </w:p>
    <w:p w14:paraId="70E6E3E7"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Proceder aos recolhimentos previdenciários, trabalhistas e sindicais, assim como de quaisquer outros encargos decorrentes da contratação das empresas ou profissionais envolvidos na consecução do presente Acordo de Cooperação, inclusive do que se refere aos direitos autorais ou uso de marcas;</w:t>
      </w:r>
    </w:p>
    <w:p w14:paraId="1CE1A5E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Observar, durante todo o período de utilização da área disponibilizada pela SEMIL/DPU, as normas ambientais vigentes relativas ao uso racional de água e energia elétrica, definidas na legislação específica;</w:t>
      </w:r>
    </w:p>
    <w:p w14:paraId="4E9E2A65"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Assumir integralmente e exclusiva responsabilidade por quaisquer danos ou prejuízos, causados direta ou indiretamente, por si ou seus prepostos, às instalações, equipamentos, funcionários, prestadores de serviços e frequentadores do Parque, ou aos seus bens, garantindo seu imediato reparo, de acordo com as orientações da SEMIL/DPU, ou a devida indenização;</w:t>
      </w:r>
    </w:p>
    <w:p w14:paraId="57749CB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Manter seus funcionários, prestadores de serviços e demais pessoas envolvidas na realização de suas atividades na realização de suas atividades permanentemente identificadas mediante crachás, uniformes ou outra forma adequada;</w:t>
      </w:r>
    </w:p>
    <w:p w14:paraId="5D186CB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xml:space="preserve">Garantir à Administração do Parque permanente acesso às instalações disponibilizadas para o desenvolvimento do projeto, visando à fiscalização quanto à observância de todas as normas e condutas estabelecidas no Acordo de Cooperação, ou exigidas pela </w:t>
      </w:r>
      <w:r w:rsidRPr="00802CF2">
        <w:rPr>
          <w:rFonts w:ascii="Calibri" w:eastAsia="Times New Roman" w:hAnsi="Calibri" w:cs="Calibri"/>
          <w:color w:val="000000"/>
          <w:sz w:val="27"/>
          <w:szCs w:val="27"/>
          <w:lang w:eastAsia="pt-BR"/>
        </w:rPr>
        <w:lastRenderedPageBreak/>
        <w:t>legislação vigente, bem como apresentar, quando exigido, todos os documentos legais pertinentes;</w:t>
      </w:r>
    </w:p>
    <w:p w14:paraId="0DA45107"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Dar conhecimento a todos os seus funcionários, prestadores de serviços e demais pessoas envolvidas nas atividades de todas as obrigações assumidas no presente Acordo de Cooperação;</w:t>
      </w:r>
    </w:p>
    <w:p w14:paraId="17AD9874"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Providenciar junto aos órgãos públicos competentes, às suas expensas todas as licenças, alvarás, autorizações, pagamento de taxas e emolumentos legalmente exigíveis para a realização de eventos do gênero, incluindo o transporte, montagem e desmontagem das instalações, isentando desde já a SEMIL/DPU de qualquer responsabilidade decorrente;</w:t>
      </w:r>
    </w:p>
    <w:p w14:paraId="60B40012"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Atender a todas as normas de segurança e acessibilidade às pessoas portadoras de limitações físicas, de acordo com a legislação vigente, em especial a NBR 9050;</w:t>
      </w:r>
    </w:p>
    <w:p w14:paraId="71B5AD8F"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Apresentar relatórios, até o 10º (décimo) dia do encerramento do período, acerca das atividades desenvolvidas durante a vigência do Acordo de Cooperação, quando do encerramento do presente ajuste, que serão submetidos à análise do representante da SEMIL/DPU, que elaborará manifestação sobre os relatórios, e os submeterá, conjuntamente com suas manifestações, ao Conselho de Orientação do Parque, caso vigente, para deliberação quanto ao atendimento do previsto no presente Acordo de Cooperação;</w:t>
      </w:r>
    </w:p>
    <w:p w14:paraId="4107DBEA"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Apresentação plano de segurança para situações de risco relacionadas às atividades praticadas na unidade;</w:t>
      </w:r>
    </w:p>
    <w:p w14:paraId="4989CCD2" w14:textId="32A36288"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Garantir que as atividades realizadas na pista de caminhada não entrem em conflito com o uso pelos demais frequentadores, considerando que não há exclusividade de uso pela OSC da ciclovia.</w:t>
      </w:r>
    </w:p>
    <w:p w14:paraId="46836F40"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0C0B05C5" w14:textId="77777777" w:rsid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DA DIRETORIA DE PARQUES URBANOS DA SECRETARIA DE MEIO AMBIENTE, INFRAESTRUTURA E LOGÍSTICA</w:t>
      </w:r>
    </w:p>
    <w:p w14:paraId="7B24B375"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Nomear um representante (fiscal), após a celebração do Acordo de Cooperação a fim de acompanhar a execução de todas as cláusulas e condições estabelecidas no presente termo;</w:t>
      </w:r>
    </w:p>
    <w:p w14:paraId="24276A61"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Envidar seus melhores esforços para a implementação e desenvolvimento das atividades, em apoio às iniciativas desenvolvidas pela OSC;</w:t>
      </w:r>
    </w:p>
    <w:p w14:paraId="725F3059"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Submeter a apreciação e manifestação do Conselho de Orientação dos Parques que estiverem vigentes, semestralmente, os relatórios e resultados obtidos das atividades realizadas;</w:t>
      </w:r>
    </w:p>
    <w:p w14:paraId="47D77CC5"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xml:space="preserve">Garantir o livre acesso às dependências do Parque, observadas às condições estabelecidas no presente Acordo de Cooperação e </w:t>
      </w:r>
      <w:r w:rsidRPr="00802CF2">
        <w:rPr>
          <w:rFonts w:ascii="Calibri" w:eastAsia="Times New Roman" w:hAnsi="Calibri" w:cs="Calibri"/>
          <w:color w:val="000000"/>
          <w:sz w:val="27"/>
          <w:szCs w:val="27"/>
          <w:lang w:eastAsia="pt-BR"/>
        </w:rPr>
        <w:lastRenderedPageBreak/>
        <w:t>respectivo Termo de Referência, de forma a permitir e facilitar todas as atividades inerentes ao desenvolvimento do Projeto;</w:t>
      </w:r>
    </w:p>
    <w:p w14:paraId="1337A800" w14:textId="024262DD"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Atuar como facilitadora no contato com os funcionários e prestadores de serviços dos parques, de modo a garantir a adequada integração de suas atividades.</w:t>
      </w:r>
    </w:p>
    <w:p w14:paraId="5934D03B" w14:textId="77777777" w:rsidR="00802CF2" w:rsidRPr="00802CF2" w:rsidRDefault="00802CF2" w:rsidP="00802CF2">
      <w:pPr>
        <w:spacing w:before="120" w:after="120" w:line="240" w:lineRule="auto"/>
        <w:ind w:left="120"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 </w:t>
      </w:r>
    </w:p>
    <w:p w14:paraId="5A25452B" w14:textId="2E058781" w:rsidR="00802CF2" w:rsidRPr="00802CF2" w:rsidRDefault="00802CF2" w:rsidP="00802CF2">
      <w:pPr>
        <w:pStyle w:val="PargrafodaLista"/>
        <w:numPr>
          <w:ilvl w:val="1"/>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DISPOSIÇÕES FINAIS</w:t>
      </w:r>
    </w:p>
    <w:p w14:paraId="370F8B25"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Os recursos humanos utilizados por quaisquer dos partícipes na execução das atividades decorrentes deste Acordo de Cooperação, na condição de empregado, funcionário, autônomo ou contratado a qualquer título, não terão qualquer vinculação em relação ao outro partícipe, ficando a cargo exclusivo de cada um a integral responsabilidade quanto às possíveis exigências de direitos, mormente no que se refere às de natureza fiscal, trabalhista, tributária e previdenciária, inexistindo, assim, solidariedade entre ambos;</w:t>
      </w:r>
    </w:p>
    <w:p w14:paraId="29FEAE0B"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SEMIL/DPU, na data da conclusão ou extinção do Acordo de Cooperação, terá o direito de propriedade dos bens remanescentes que tenham sido produzidos, transformados ou construídos, respeitada a legislação vigente, em razão do presente instrumento</w:t>
      </w:r>
    </w:p>
    <w:p w14:paraId="11A9181E" w14:textId="77777777" w:rsid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A OSC, desde que previamente aprovada e autorizada pela SEMIL, e pela Assessoria de Comunicação da SEMIL, poderá utilizar o logo, marca e nome de identificação do Estado de São Paulo e da Secretaria de Estado do Meio Ambiente, Infraestrutura e Logística em materiais de comunicação institucional e por quaisquer meios de divulgação que visem identificar e divulgar o Projeto, e o Acordo de Cooperação por este ato firmado respeitado as orientações da Secretaria de Comunicações do Governo do Estado;</w:t>
      </w:r>
    </w:p>
    <w:p w14:paraId="6A6D8208" w14:textId="1D639DCA" w:rsidR="00802CF2" w:rsidRPr="00802CF2" w:rsidRDefault="00802CF2" w:rsidP="00802CF2">
      <w:pPr>
        <w:pStyle w:val="PargrafodaLista"/>
        <w:numPr>
          <w:ilvl w:val="2"/>
          <w:numId w:val="1"/>
        </w:numPr>
        <w:spacing w:before="120" w:after="120" w:line="240" w:lineRule="auto"/>
        <w:ind w:right="120"/>
        <w:jc w:val="both"/>
        <w:rPr>
          <w:rFonts w:ascii="Calibri" w:eastAsia="Times New Roman" w:hAnsi="Calibri" w:cs="Calibri"/>
          <w:color w:val="000000"/>
          <w:sz w:val="27"/>
          <w:szCs w:val="27"/>
          <w:lang w:eastAsia="pt-BR"/>
        </w:rPr>
      </w:pPr>
      <w:r w:rsidRPr="00802CF2">
        <w:rPr>
          <w:rFonts w:ascii="Calibri" w:eastAsia="Times New Roman" w:hAnsi="Calibri" w:cs="Calibri"/>
          <w:color w:val="000000"/>
          <w:sz w:val="27"/>
          <w:szCs w:val="27"/>
          <w:lang w:eastAsia="pt-BR"/>
        </w:rPr>
        <w:t>Todo material a ser distribuído e/ou exibido no local deve receber a autorização prévia da SEMIL/DPU.</w:t>
      </w:r>
    </w:p>
    <w:p w14:paraId="06226206" w14:textId="77777777" w:rsidR="00802CF2" w:rsidRPr="00802CF2" w:rsidRDefault="00802CF2" w:rsidP="00802CF2">
      <w:pPr>
        <w:spacing w:after="165" w:line="240" w:lineRule="auto"/>
        <w:jc w:val="both"/>
        <w:rPr>
          <w:rFonts w:ascii="Times New Roman" w:eastAsia="Times New Roman" w:hAnsi="Times New Roman" w:cs="Times New Roman"/>
          <w:color w:val="000000"/>
          <w:sz w:val="27"/>
          <w:szCs w:val="27"/>
          <w:lang w:eastAsia="pt-BR"/>
        </w:rPr>
      </w:pPr>
      <w:r w:rsidRPr="00802CF2">
        <w:rPr>
          <w:rFonts w:ascii="Times New Roman" w:eastAsia="Times New Roman" w:hAnsi="Times New Roman" w:cs="Times New Roman"/>
          <w:color w:val="000000"/>
          <w:sz w:val="27"/>
          <w:szCs w:val="27"/>
          <w:lang w:eastAsia="pt-BR"/>
        </w:rPr>
        <w:t> </w:t>
      </w:r>
    </w:p>
    <w:p w14:paraId="575BB874" w14:textId="77777777" w:rsidR="00774DDB" w:rsidRPr="00802CF2" w:rsidRDefault="00774DDB" w:rsidP="00802CF2"/>
    <w:sectPr w:rsidR="00774DDB" w:rsidRPr="00802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A60"/>
    <w:multiLevelType w:val="hybridMultilevel"/>
    <w:tmpl w:val="00AAB9E0"/>
    <w:lvl w:ilvl="0" w:tplc="DACA2CF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4100439"/>
    <w:multiLevelType w:val="hybridMultilevel"/>
    <w:tmpl w:val="33163FF2"/>
    <w:lvl w:ilvl="0" w:tplc="29E0CC3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1835713A"/>
    <w:multiLevelType w:val="hybridMultilevel"/>
    <w:tmpl w:val="2914389C"/>
    <w:lvl w:ilvl="0" w:tplc="6DDACD4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33DC4E00"/>
    <w:multiLevelType w:val="hybridMultilevel"/>
    <w:tmpl w:val="F1526C4E"/>
    <w:lvl w:ilvl="0" w:tplc="D8CCA62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3C09530A"/>
    <w:multiLevelType w:val="hybridMultilevel"/>
    <w:tmpl w:val="50A8B208"/>
    <w:lvl w:ilvl="0" w:tplc="7F8A75B0">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4D16105D"/>
    <w:multiLevelType w:val="hybridMultilevel"/>
    <w:tmpl w:val="D4601EDE"/>
    <w:lvl w:ilvl="0" w:tplc="C794175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15:restartNumberingAfterBreak="0">
    <w:nsid w:val="50EC3243"/>
    <w:multiLevelType w:val="multilevel"/>
    <w:tmpl w:val="2B444614"/>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7" w15:restartNumberingAfterBreak="0">
    <w:nsid w:val="73B65497"/>
    <w:multiLevelType w:val="hybridMultilevel"/>
    <w:tmpl w:val="1C543148"/>
    <w:lvl w:ilvl="0" w:tplc="50AC2D8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6"/>
  </w:num>
  <w:num w:numId="2">
    <w:abstractNumId w:val="0"/>
  </w:num>
  <w:num w:numId="3">
    <w:abstractNumId w:val="2"/>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20"/>
    <w:rsid w:val="00035899"/>
    <w:rsid w:val="00343A20"/>
    <w:rsid w:val="003C0731"/>
    <w:rsid w:val="00774DDB"/>
    <w:rsid w:val="00802CF2"/>
    <w:rsid w:val="00B47315"/>
    <w:rsid w:val="00E96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7B29"/>
  <w15:chartTrackingRefBased/>
  <w15:docId w15:val="{66C42741-DED8-406F-9BA1-AA48FB51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margem">
    <w:name w:val="texto_justificado_recuo_primeira_linha_margem"/>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43A20"/>
    <w:rPr>
      <w:b/>
      <w:bCs/>
    </w:rPr>
  </w:style>
  <w:style w:type="paragraph" w:customStyle="1" w:styleId="itemnivel1">
    <w:name w:val="item_nivel1"/>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det">
    <w:name w:val="texto_alinhado_esquerda_det"/>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343A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35899"/>
    <w:rPr>
      <w:color w:val="0000FF"/>
      <w:u w:val="single"/>
    </w:rPr>
  </w:style>
  <w:style w:type="paragraph" w:styleId="NormalWeb">
    <w:name w:val="Normal (Web)"/>
    <w:basedOn w:val="Normal"/>
    <w:uiPriority w:val="99"/>
    <w:semiHidden/>
    <w:unhideWhenUsed/>
    <w:rsid w:val="000358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0358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assinatura">
    <w:name w:val="texto_centralizado_assinatura"/>
    <w:basedOn w:val="Normal"/>
    <w:rsid w:val="00802C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02C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02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5028">
      <w:bodyDiv w:val="1"/>
      <w:marLeft w:val="0"/>
      <w:marRight w:val="0"/>
      <w:marTop w:val="0"/>
      <w:marBottom w:val="0"/>
      <w:divBdr>
        <w:top w:val="none" w:sz="0" w:space="0" w:color="auto"/>
        <w:left w:val="none" w:sz="0" w:space="0" w:color="auto"/>
        <w:bottom w:val="none" w:sz="0" w:space="0" w:color="auto"/>
        <w:right w:val="none" w:sz="0" w:space="0" w:color="auto"/>
      </w:divBdr>
    </w:div>
    <w:div w:id="1247690872">
      <w:bodyDiv w:val="1"/>
      <w:marLeft w:val="0"/>
      <w:marRight w:val="0"/>
      <w:marTop w:val="0"/>
      <w:marBottom w:val="0"/>
      <w:divBdr>
        <w:top w:val="none" w:sz="0" w:space="0" w:color="auto"/>
        <w:left w:val="none" w:sz="0" w:space="0" w:color="auto"/>
        <w:bottom w:val="none" w:sz="0" w:space="0" w:color="auto"/>
        <w:right w:val="none" w:sz="0" w:space="0" w:color="auto"/>
      </w:divBdr>
    </w:div>
    <w:div w:id="21078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3492</Words>
  <Characters>18860</Characters>
  <Application>Microsoft Office Word</Application>
  <DocSecurity>0</DocSecurity>
  <Lines>157</Lines>
  <Paragraphs>44</Paragraphs>
  <ScaleCrop>false</ScaleCrop>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MELO DA SILVA</dc:creator>
  <cp:keywords/>
  <dc:description/>
  <cp:lastModifiedBy>CRISTIANE DOS SANTOS OLIVEIRA</cp:lastModifiedBy>
  <cp:revision>5</cp:revision>
  <dcterms:created xsi:type="dcterms:W3CDTF">2025-10-16T18:23:00Z</dcterms:created>
  <dcterms:modified xsi:type="dcterms:W3CDTF">2025-11-14T12:41:00Z</dcterms:modified>
</cp:coreProperties>
</file>